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31" w:type="dxa"/>
        <w:tblInd w:w="0" w:type="dxa"/>
        <w:tblLayout w:type="fixed"/>
        <w:tblCellMar>
          <w:top w:w="0" w:type="dxa"/>
          <w:left w:w="0" w:type="dxa"/>
          <w:bottom w:w="0" w:type="dxa"/>
          <w:right w:w="0" w:type="dxa"/>
        </w:tblCellMar>
      </w:tblPr>
      <w:tblGrid>
        <w:gridCol w:w="1161"/>
        <w:gridCol w:w="4183"/>
        <w:gridCol w:w="5087"/>
      </w:tblGrid>
      <w:tr w14:paraId="4D0C92E3">
        <w:tblPrEx>
          <w:tblCellMar>
            <w:top w:w="0" w:type="dxa"/>
            <w:left w:w="0" w:type="dxa"/>
            <w:bottom w:w="0" w:type="dxa"/>
            <w:right w:w="0" w:type="dxa"/>
          </w:tblCellMar>
        </w:tblPrEx>
        <w:trPr>
          <w:trHeight w:val="516" w:hRule="exact"/>
        </w:trPr>
        <w:tc>
          <w:tcPr>
            <w:tcW w:w="1161" w:type="dxa"/>
            <w:vAlign w:val="center"/>
          </w:tcPr>
          <w:p w14:paraId="125C88F3">
            <w:pPr>
              <w:spacing w:line="286" w:lineRule="atLeast"/>
              <w:jc w:val="center"/>
              <w:rPr>
                <w:rFonts w:ascii="黑体" w:hAnsi="黑体" w:eastAsia="黑体" w:cs="黑体"/>
                <w:b/>
                <w:color w:val="000000"/>
                <w:spacing w:val="-2"/>
                <w:sz w:val="17"/>
              </w:rPr>
            </w:pPr>
          </w:p>
        </w:tc>
        <w:tc>
          <w:tcPr>
            <w:tcW w:w="4183" w:type="dxa"/>
            <w:vAlign w:val="center"/>
          </w:tcPr>
          <w:p w14:paraId="2342CE72">
            <w:pPr>
              <w:spacing w:line="286" w:lineRule="atLeast"/>
              <w:ind w:right="-23901"/>
              <w:rPr>
                <w:rFonts w:ascii="黑体" w:hAnsi="黑体" w:eastAsia="黑体" w:cs="黑体"/>
                <w:b/>
                <w:color w:val="000000"/>
                <w:spacing w:val="-2"/>
                <w:sz w:val="17"/>
              </w:rPr>
            </w:pPr>
          </w:p>
        </w:tc>
        <w:tc>
          <w:tcPr>
            <w:tcW w:w="5087" w:type="dxa"/>
            <w:vAlign w:val="center"/>
          </w:tcPr>
          <w:p w14:paraId="4F1F6445">
            <w:pPr>
              <w:spacing w:line="286" w:lineRule="atLeast"/>
              <w:ind w:right="-18807"/>
              <w:rPr>
                <w:rFonts w:ascii="黑体" w:hAnsi="黑体" w:eastAsia="黑体" w:cs="黑体"/>
                <w:b/>
                <w:color w:val="000000"/>
                <w:spacing w:val="-2"/>
                <w:sz w:val="17"/>
              </w:rPr>
            </w:pPr>
          </w:p>
        </w:tc>
      </w:tr>
      <w:tr w14:paraId="726BD003">
        <w:tblPrEx>
          <w:tblCellMar>
            <w:top w:w="0" w:type="dxa"/>
            <w:left w:w="0" w:type="dxa"/>
            <w:bottom w:w="0" w:type="dxa"/>
            <w:right w:w="0" w:type="dxa"/>
          </w:tblCellMar>
        </w:tblPrEx>
        <w:trPr>
          <w:trHeight w:val="516" w:hRule="exact"/>
        </w:trPr>
        <w:tc>
          <w:tcPr>
            <w:tcW w:w="10431" w:type="dxa"/>
            <w:gridSpan w:val="3"/>
            <w:vAlign w:val="center"/>
          </w:tcPr>
          <w:p w14:paraId="79AAF40D">
            <w:pPr>
              <w:spacing w:line="229" w:lineRule="atLeast"/>
              <w:jc w:val="center"/>
              <w:rPr>
                <w:rFonts w:ascii="宋体" w:hAnsi="宋体" w:eastAsia="宋体" w:cs="宋体"/>
                <w:b/>
                <w:color w:val="000000"/>
                <w:spacing w:val="-2"/>
                <w:sz w:val="40"/>
              </w:rPr>
            </w:pPr>
            <w:r>
              <w:rPr>
                <w:rFonts w:ascii="宋体" w:hAnsi="宋体" w:eastAsia="宋体" w:cs="宋体"/>
                <w:b/>
                <w:color w:val="000000"/>
                <w:spacing w:val="-2"/>
                <w:sz w:val="40"/>
              </w:rPr>
              <w:t>表D.1.1   最高投标限价编制(审核)说明</w:t>
            </w:r>
          </w:p>
        </w:tc>
      </w:tr>
      <w:tr w14:paraId="34577839">
        <w:tblPrEx>
          <w:tblCellMar>
            <w:top w:w="0" w:type="dxa"/>
            <w:left w:w="0" w:type="dxa"/>
            <w:bottom w:w="0" w:type="dxa"/>
            <w:right w:w="0" w:type="dxa"/>
          </w:tblCellMar>
        </w:tblPrEx>
        <w:trPr>
          <w:trHeight w:val="329" w:hRule="exact"/>
        </w:trPr>
        <w:tc>
          <w:tcPr>
            <w:tcW w:w="5344" w:type="dxa"/>
            <w:gridSpan w:val="2"/>
            <w:tcBorders>
              <w:bottom w:val="single" w:color="000000" w:sz="10" w:space="0"/>
            </w:tcBorders>
            <w:tcMar>
              <w:top w:w="17" w:type="dxa"/>
            </w:tcMar>
            <w:vAlign w:val="center"/>
          </w:tcPr>
          <w:p w14:paraId="686C4125">
            <w:pPr>
              <w:spacing w:line="286" w:lineRule="atLeast"/>
              <w:rPr>
                <w:rFonts w:ascii="黑体" w:hAnsi="黑体" w:eastAsia="黑体" w:cs="黑体"/>
                <w:color w:val="000000"/>
                <w:spacing w:val="-2"/>
                <w:sz w:val="18"/>
              </w:rPr>
            </w:pPr>
            <w:r>
              <w:rPr>
                <w:rFonts w:ascii="黑体" w:hAnsi="黑体" w:eastAsia="黑体" w:cs="黑体"/>
                <w:color w:val="000000"/>
                <w:spacing w:val="-2"/>
                <w:sz w:val="18"/>
              </w:rPr>
              <w:t>工程名称：“新能悦动”综合惠民建设项目</w:t>
            </w:r>
          </w:p>
        </w:tc>
        <w:tc>
          <w:tcPr>
            <w:tcW w:w="5087" w:type="dxa"/>
            <w:tcBorders>
              <w:bottom w:val="single" w:color="000000" w:sz="10" w:space="0"/>
            </w:tcBorders>
            <w:tcMar>
              <w:bottom w:w="17" w:type="dxa"/>
            </w:tcMar>
            <w:vAlign w:val="bottom"/>
          </w:tcPr>
          <w:p w14:paraId="354DDE36">
            <w:pPr>
              <w:spacing w:line="286" w:lineRule="atLeast"/>
              <w:jc w:val="right"/>
              <w:rPr>
                <w:rFonts w:ascii="黑体" w:hAnsi="黑体" w:eastAsia="黑体" w:cs="黑体"/>
                <w:b/>
                <w:color w:val="000000"/>
                <w:spacing w:val="-2"/>
                <w:sz w:val="18"/>
              </w:rPr>
            </w:pPr>
          </w:p>
        </w:tc>
      </w:tr>
      <w:tr w14:paraId="392FE066">
        <w:tblPrEx>
          <w:tblCellMar>
            <w:top w:w="0" w:type="dxa"/>
            <w:left w:w="0" w:type="dxa"/>
            <w:bottom w:w="0" w:type="dxa"/>
            <w:right w:w="0" w:type="dxa"/>
          </w:tblCellMar>
        </w:tblPrEx>
        <w:trPr>
          <w:trHeight w:val="2866" w:hRule="exact"/>
        </w:trPr>
        <w:tc>
          <w:tcPr>
            <w:tcW w:w="10431" w:type="dxa"/>
            <w:gridSpan w:val="3"/>
            <w:vMerge w:val="restart"/>
            <w:tcBorders>
              <w:top w:val="single" w:color="000000" w:sz="10" w:space="0"/>
              <w:left w:val="single" w:color="000000" w:sz="10" w:space="0"/>
              <w:right w:val="single" w:color="000000" w:sz="10" w:space="0"/>
            </w:tcBorders>
          </w:tcPr>
          <w:p w14:paraId="03C9F5CD">
            <w:pPr>
              <w:spacing w:line="229" w:lineRule="atLeast"/>
              <w:rPr>
                <w:rFonts w:ascii="宋体" w:hAnsi="宋体" w:eastAsia="宋体" w:cs="宋体"/>
                <w:color w:val="000000"/>
                <w:spacing w:val="-2"/>
                <w:sz w:val="21"/>
              </w:rPr>
            </w:pPr>
            <w:r>
              <w:rPr>
                <w:rFonts w:ascii="宋体" w:hAnsi="宋体" w:eastAsia="宋体" w:cs="宋体"/>
                <w:color w:val="000000"/>
                <w:spacing w:val="-2"/>
                <w:sz w:val="21"/>
              </w:rPr>
              <w:t>“新能悦动”综合惠民建设项目</w:t>
            </w:r>
          </w:p>
          <w:p w14:paraId="5925B1A8">
            <w:pPr>
              <w:spacing w:line="229" w:lineRule="atLeast"/>
              <w:rPr>
                <w:rFonts w:ascii="宋体" w:hAnsi="宋体" w:eastAsia="宋体" w:cs="宋体"/>
                <w:color w:val="000000"/>
                <w:spacing w:val="-2"/>
                <w:sz w:val="21"/>
              </w:rPr>
            </w:pPr>
            <w:r>
              <w:rPr>
                <w:rFonts w:ascii="宋体" w:hAnsi="宋体" w:eastAsia="宋体" w:cs="宋体"/>
                <w:color w:val="000000"/>
                <w:spacing w:val="-2"/>
                <w:sz w:val="21"/>
              </w:rPr>
              <w:t>最高投标限价编制说明</w:t>
            </w:r>
          </w:p>
          <w:p w14:paraId="18BF82D7">
            <w:pPr>
              <w:spacing w:line="229" w:lineRule="atLeast"/>
              <w:rPr>
                <w:rFonts w:ascii="宋体" w:hAnsi="宋体" w:eastAsia="宋体" w:cs="宋体"/>
                <w:color w:val="000000"/>
                <w:spacing w:val="-2"/>
                <w:sz w:val="21"/>
              </w:rPr>
            </w:pPr>
            <w:r>
              <w:rPr>
                <w:rFonts w:ascii="宋体" w:hAnsi="宋体" w:eastAsia="宋体" w:cs="宋体"/>
                <w:color w:val="000000"/>
                <w:spacing w:val="-2"/>
                <w:sz w:val="21"/>
              </w:rPr>
              <w:t>一、工程概况</w:t>
            </w:r>
          </w:p>
          <w:p w14:paraId="47512814">
            <w:pPr>
              <w:spacing w:line="229" w:lineRule="atLeast"/>
              <w:rPr>
                <w:rFonts w:ascii="宋体" w:hAnsi="宋体" w:eastAsia="宋体" w:cs="宋体"/>
                <w:color w:val="000000"/>
                <w:spacing w:val="-2"/>
                <w:sz w:val="21"/>
              </w:rPr>
            </w:pPr>
            <w:r>
              <w:rPr>
                <w:rFonts w:ascii="宋体" w:hAnsi="宋体" w:eastAsia="宋体" w:cs="宋体"/>
                <w:color w:val="000000"/>
                <w:spacing w:val="-2"/>
                <w:sz w:val="21"/>
              </w:rPr>
              <w:t>本项目为“新能悦动”综合惠民建设项目,工程主要工作内容包括道路新建；室外雨水管铺设；雨水口、雨水井新建；标志牌、标线等交通设施；篮球场新建；片植灌木等。</w:t>
            </w:r>
          </w:p>
          <w:p w14:paraId="6E3EE04F">
            <w:pPr>
              <w:spacing w:line="229" w:lineRule="atLeast"/>
              <w:rPr>
                <w:rFonts w:ascii="宋体" w:hAnsi="宋体" w:eastAsia="宋体" w:cs="宋体"/>
                <w:color w:val="000000"/>
                <w:spacing w:val="-2"/>
                <w:sz w:val="21"/>
              </w:rPr>
            </w:pPr>
            <w:r>
              <w:rPr>
                <w:rFonts w:ascii="宋体" w:hAnsi="宋体" w:eastAsia="宋体" w:cs="宋体"/>
                <w:color w:val="000000"/>
                <w:spacing w:val="-2"/>
                <w:sz w:val="21"/>
              </w:rPr>
              <w:t>二、工程招标范围</w:t>
            </w:r>
          </w:p>
          <w:p w14:paraId="3DFA60D9">
            <w:pPr>
              <w:spacing w:line="229" w:lineRule="atLeast"/>
              <w:rPr>
                <w:rFonts w:ascii="宋体" w:hAnsi="宋体" w:eastAsia="宋体" w:cs="宋体"/>
                <w:color w:val="000000"/>
                <w:spacing w:val="-2"/>
                <w:sz w:val="21"/>
              </w:rPr>
            </w:pPr>
            <w:r>
              <w:rPr>
                <w:rFonts w:ascii="宋体" w:hAnsi="宋体" w:eastAsia="宋体" w:cs="宋体"/>
                <w:color w:val="000000"/>
                <w:spacing w:val="-2"/>
                <w:sz w:val="21"/>
              </w:rPr>
              <w:t>本工程招标范围为“新能悦动”综合惠民建设项目。</w:t>
            </w:r>
          </w:p>
          <w:p w14:paraId="7AD91EB7">
            <w:pPr>
              <w:spacing w:line="229" w:lineRule="atLeast"/>
              <w:rPr>
                <w:rFonts w:ascii="宋体" w:hAnsi="宋体" w:eastAsia="宋体" w:cs="宋体"/>
                <w:color w:val="000000"/>
                <w:spacing w:val="-2"/>
                <w:sz w:val="21"/>
              </w:rPr>
            </w:pPr>
            <w:r>
              <w:rPr>
                <w:rFonts w:ascii="宋体" w:hAnsi="宋体" w:eastAsia="宋体" w:cs="宋体"/>
                <w:color w:val="000000"/>
                <w:spacing w:val="-2"/>
                <w:sz w:val="21"/>
              </w:rPr>
              <w:t>三、最高限价编制依据</w:t>
            </w:r>
          </w:p>
          <w:p w14:paraId="285AF3E7">
            <w:pPr>
              <w:spacing w:line="229" w:lineRule="atLeast"/>
              <w:rPr>
                <w:rFonts w:ascii="宋体" w:hAnsi="宋体" w:eastAsia="宋体" w:cs="宋体"/>
                <w:color w:val="000000"/>
                <w:spacing w:val="-2"/>
                <w:sz w:val="21"/>
              </w:rPr>
            </w:pPr>
            <w:r>
              <w:rPr>
                <w:rFonts w:ascii="宋体" w:hAnsi="宋体" w:eastAsia="宋体" w:cs="宋体"/>
                <w:color w:val="000000"/>
                <w:spacing w:val="-2"/>
                <w:sz w:val="21"/>
              </w:rPr>
              <w:t>1、本工程招标文件(包括招标工程量清单、合同条款、招标图纸、技术标准规范等)及其补遗、澄清或修改。</w:t>
            </w:r>
          </w:p>
          <w:p w14:paraId="3CE2F0B5">
            <w:pPr>
              <w:spacing w:line="229" w:lineRule="atLeast"/>
              <w:rPr>
                <w:rFonts w:ascii="宋体" w:hAnsi="宋体" w:eastAsia="宋体" w:cs="宋体"/>
                <w:color w:val="000000"/>
                <w:spacing w:val="-2"/>
                <w:sz w:val="21"/>
              </w:rPr>
            </w:pPr>
            <w:r>
              <w:rPr>
                <w:rFonts w:ascii="宋体" w:hAnsi="宋体" w:eastAsia="宋体" w:cs="宋体"/>
                <w:color w:val="000000"/>
                <w:spacing w:val="-2"/>
                <w:sz w:val="21"/>
              </w:rPr>
              <w:t>2、与招标工程相关的技术标准规范。</w:t>
            </w:r>
          </w:p>
          <w:p w14:paraId="703F0CA2">
            <w:pPr>
              <w:spacing w:line="229" w:lineRule="atLeast"/>
              <w:rPr>
                <w:rFonts w:ascii="宋体" w:hAnsi="宋体" w:eastAsia="宋体" w:cs="宋体"/>
                <w:color w:val="000000"/>
                <w:spacing w:val="-2"/>
                <w:sz w:val="21"/>
              </w:rPr>
            </w:pPr>
            <w:r>
              <w:rPr>
                <w:rFonts w:ascii="宋体" w:hAnsi="宋体" w:eastAsia="宋体" w:cs="宋体"/>
                <w:color w:val="000000"/>
                <w:spacing w:val="-2"/>
                <w:sz w:val="21"/>
              </w:rPr>
              <w:t>3、工程特点及交付标准、地勘水文资料、现场情况。</w:t>
            </w:r>
          </w:p>
          <w:p w14:paraId="02CB1559">
            <w:pPr>
              <w:spacing w:line="229" w:lineRule="atLeast"/>
              <w:rPr>
                <w:rFonts w:ascii="宋体" w:hAnsi="宋体" w:eastAsia="宋体" w:cs="宋体"/>
                <w:color w:val="000000"/>
                <w:spacing w:val="-2"/>
                <w:sz w:val="21"/>
              </w:rPr>
            </w:pPr>
            <w:r>
              <w:rPr>
                <w:rFonts w:ascii="宋体" w:hAnsi="宋体" w:eastAsia="宋体" w:cs="宋体"/>
                <w:color w:val="000000"/>
                <w:spacing w:val="-2"/>
                <w:sz w:val="21"/>
              </w:rPr>
              <w:t>4、合理施工工期及常规施工工艺、顺序。</w:t>
            </w:r>
          </w:p>
          <w:p w14:paraId="0D8EAB55">
            <w:pPr>
              <w:spacing w:line="229" w:lineRule="atLeast"/>
              <w:rPr>
                <w:rFonts w:ascii="宋体" w:hAnsi="宋体" w:eastAsia="宋体" w:cs="宋体"/>
                <w:color w:val="000000"/>
                <w:spacing w:val="-2"/>
                <w:sz w:val="21"/>
              </w:rPr>
            </w:pPr>
            <w:r>
              <w:rPr>
                <w:rFonts w:ascii="宋体" w:hAnsi="宋体" w:eastAsia="宋体" w:cs="宋体"/>
                <w:color w:val="000000"/>
                <w:spacing w:val="-2"/>
                <w:sz w:val="21"/>
              </w:rPr>
              <w:t>5、工程价格信息及造价资讯、工程造价数据指数。</w:t>
            </w:r>
          </w:p>
          <w:p w14:paraId="2EB1AB35">
            <w:pPr>
              <w:spacing w:line="229" w:lineRule="atLeast"/>
              <w:rPr>
                <w:rFonts w:ascii="宋体" w:hAnsi="宋体" w:eastAsia="宋体" w:cs="宋体"/>
                <w:color w:val="000000"/>
                <w:spacing w:val="-2"/>
                <w:sz w:val="21"/>
              </w:rPr>
            </w:pPr>
            <w:r>
              <w:rPr>
                <w:rFonts w:ascii="宋体" w:hAnsi="宋体" w:eastAsia="宋体" w:cs="宋体"/>
                <w:color w:val="000000"/>
                <w:spacing w:val="-2"/>
                <w:sz w:val="21"/>
              </w:rPr>
              <w:t>6、建设单位提供的本工程相关建设要求及施工图设计图纸。</w:t>
            </w:r>
          </w:p>
          <w:p w14:paraId="262ECD2A">
            <w:pPr>
              <w:spacing w:line="229" w:lineRule="atLeast"/>
              <w:rPr>
                <w:rFonts w:ascii="宋体" w:hAnsi="宋体" w:eastAsia="宋体" w:cs="宋体"/>
                <w:color w:val="000000"/>
                <w:spacing w:val="-2"/>
                <w:sz w:val="21"/>
              </w:rPr>
            </w:pPr>
            <w:r>
              <w:rPr>
                <w:rFonts w:ascii="宋体" w:hAnsi="宋体" w:eastAsia="宋体" w:cs="宋体"/>
                <w:color w:val="000000"/>
                <w:spacing w:val="-2"/>
                <w:sz w:val="21"/>
              </w:rPr>
              <w:t>7、国家及省级、行业建设主管部门颁发的工程量与计价相关规定，以及根据工程需要补充的工程量计算规则：中华人民共和国住房和城乡建设部颁发的建设工程工程量清单计价标准（GBT50500-2024）、《房屋建筑与装饰工程工程量计算规范》(GB/T 50854-2024)、《市政工程工程量计算标准》(GB/T 50857-2024)、《通用安装工程工程量计算标准》（GB/T 50856-2024）、《园林绿化工程工程量计算标准》（GB/T 50858-2024）。</w:t>
            </w:r>
          </w:p>
          <w:p w14:paraId="1B71711A">
            <w:pPr>
              <w:spacing w:line="229" w:lineRule="atLeast"/>
              <w:rPr>
                <w:rFonts w:ascii="宋体" w:hAnsi="宋体" w:eastAsia="宋体" w:cs="宋体"/>
                <w:color w:val="000000"/>
                <w:spacing w:val="-2"/>
                <w:sz w:val="21"/>
              </w:rPr>
            </w:pPr>
            <w:r>
              <w:rPr>
                <w:rFonts w:ascii="宋体" w:hAnsi="宋体" w:eastAsia="宋体" w:cs="宋体"/>
                <w:color w:val="000000"/>
                <w:spacing w:val="-2"/>
                <w:sz w:val="21"/>
              </w:rPr>
              <w:t>8、苏建公告（2025）第12号《省住房和城乡建设厅关于实施《建设工程工程量清单计价标准》（GB/T50500-2024）及9本工程量计算标准有关事宜的公告》。</w:t>
            </w:r>
          </w:p>
          <w:p w14:paraId="28C518C5">
            <w:pPr>
              <w:spacing w:line="229" w:lineRule="atLeast"/>
              <w:rPr>
                <w:rFonts w:ascii="宋体" w:hAnsi="宋体" w:eastAsia="宋体" w:cs="宋体"/>
                <w:color w:val="000000"/>
                <w:spacing w:val="-2"/>
                <w:sz w:val="21"/>
              </w:rPr>
            </w:pPr>
            <w:r>
              <w:rPr>
                <w:rFonts w:ascii="宋体" w:hAnsi="宋体" w:eastAsia="宋体" w:cs="宋体"/>
                <w:color w:val="000000"/>
                <w:spacing w:val="-2"/>
                <w:sz w:val="21"/>
              </w:rPr>
              <w:t>9、苏建价〔2026〕76号省住房城乡建设厅关于发布《江苏省建筑与装饰工程消耗量》《江苏省市政工程消耗量》《江苏省通用安装工程消耗量》及配套文件的通知。</w:t>
            </w:r>
          </w:p>
          <w:p w14:paraId="1C7B6977">
            <w:pPr>
              <w:spacing w:line="229" w:lineRule="atLeast"/>
              <w:rPr>
                <w:rFonts w:ascii="宋体" w:hAnsi="宋体" w:eastAsia="宋体" w:cs="宋体"/>
                <w:color w:val="000000"/>
                <w:spacing w:val="-2"/>
                <w:sz w:val="21"/>
              </w:rPr>
            </w:pPr>
            <w:r>
              <w:rPr>
                <w:rFonts w:ascii="宋体" w:hAnsi="宋体" w:eastAsia="宋体" w:cs="宋体"/>
                <w:color w:val="000000"/>
                <w:spacing w:val="-2"/>
                <w:sz w:val="21"/>
              </w:rPr>
              <w:t>10、国家相关法律、法规。</w:t>
            </w:r>
          </w:p>
          <w:p w14:paraId="2C244569">
            <w:pPr>
              <w:spacing w:line="229" w:lineRule="atLeast"/>
              <w:rPr>
                <w:rFonts w:ascii="宋体" w:hAnsi="宋体" w:eastAsia="宋体" w:cs="宋体"/>
                <w:color w:val="000000"/>
                <w:spacing w:val="-2"/>
                <w:sz w:val="21"/>
              </w:rPr>
            </w:pPr>
            <w:r>
              <w:rPr>
                <w:rFonts w:ascii="宋体" w:hAnsi="宋体" w:eastAsia="宋体" w:cs="宋体"/>
                <w:color w:val="000000"/>
                <w:spacing w:val="-2"/>
                <w:sz w:val="21"/>
              </w:rPr>
              <w:t>12、无锡市建设局有关文件。</w:t>
            </w:r>
          </w:p>
          <w:p w14:paraId="41C83218">
            <w:pPr>
              <w:spacing w:line="229" w:lineRule="atLeast"/>
              <w:rPr>
                <w:rFonts w:ascii="宋体" w:hAnsi="宋体" w:eastAsia="宋体" w:cs="宋体"/>
                <w:color w:val="000000"/>
                <w:spacing w:val="-2"/>
                <w:sz w:val="21"/>
              </w:rPr>
            </w:pPr>
            <w:r>
              <w:rPr>
                <w:rFonts w:ascii="宋体" w:hAnsi="宋体" w:eastAsia="宋体" w:cs="宋体"/>
                <w:color w:val="000000"/>
                <w:spacing w:val="-2"/>
                <w:sz w:val="21"/>
              </w:rPr>
              <w:t>13、其他相关资料。</w:t>
            </w:r>
          </w:p>
          <w:p w14:paraId="66DD7C31">
            <w:pPr>
              <w:spacing w:line="229" w:lineRule="atLeast"/>
              <w:rPr>
                <w:rFonts w:ascii="宋体" w:hAnsi="宋体" w:eastAsia="宋体" w:cs="宋体"/>
                <w:color w:val="000000"/>
                <w:spacing w:val="-2"/>
                <w:sz w:val="21"/>
              </w:rPr>
            </w:pPr>
            <w:r>
              <w:rPr>
                <w:rFonts w:ascii="宋体" w:hAnsi="宋体" w:eastAsia="宋体" w:cs="宋体"/>
                <w:color w:val="000000"/>
                <w:spacing w:val="-2"/>
                <w:sz w:val="21"/>
              </w:rPr>
              <w:t>四、最高投标限价编制说明</w:t>
            </w:r>
            <w:bookmarkStart w:id="0" w:name="_GoBack"/>
            <w:bookmarkEnd w:id="0"/>
          </w:p>
          <w:p w14:paraId="4032E9BB">
            <w:pPr>
              <w:spacing w:line="229" w:lineRule="atLeast"/>
              <w:rPr>
                <w:rFonts w:ascii="宋体" w:hAnsi="宋体" w:eastAsia="宋体" w:cs="宋体"/>
                <w:color w:val="000000"/>
                <w:spacing w:val="-2"/>
                <w:sz w:val="21"/>
                <w:highlight w:val="none"/>
              </w:rPr>
            </w:pPr>
            <w:r>
              <w:rPr>
                <w:rFonts w:ascii="宋体" w:hAnsi="宋体" w:eastAsia="宋体" w:cs="宋体"/>
                <w:color w:val="000000"/>
                <w:spacing w:val="-2"/>
                <w:sz w:val="21"/>
              </w:rPr>
              <w:t>1、采用一般计税方法，税率按苏建</w:t>
            </w:r>
            <w:r>
              <w:rPr>
                <w:rFonts w:ascii="宋体" w:hAnsi="宋体" w:eastAsia="宋体" w:cs="宋体"/>
                <w:color w:val="000000"/>
                <w:spacing w:val="-2"/>
                <w:sz w:val="21"/>
                <w:highlight w:val="none"/>
              </w:rPr>
              <w:t>函价[2019]178号。</w:t>
            </w:r>
          </w:p>
          <w:p w14:paraId="28FFE533">
            <w:pPr>
              <w:spacing w:line="229" w:lineRule="atLeast"/>
              <w:rPr>
                <w:rFonts w:ascii="宋体" w:hAnsi="宋体" w:eastAsia="宋体" w:cs="宋体"/>
                <w:color w:val="000000"/>
                <w:spacing w:val="-2"/>
                <w:sz w:val="21"/>
                <w:highlight w:val="none"/>
              </w:rPr>
            </w:pPr>
            <w:r>
              <w:rPr>
                <w:rFonts w:ascii="宋体" w:hAnsi="宋体" w:eastAsia="宋体" w:cs="宋体"/>
                <w:color w:val="000000"/>
                <w:spacing w:val="-2"/>
                <w:sz w:val="21"/>
                <w:highlight w:val="none"/>
              </w:rPr>
              <w:t>2、人工工资单价按江苏省住房和城乡建设厅发布的苏建价〔2026〕76号省住房城乡建设厅关于发布《江苏省建筑与装饰工程消耗量》《江苏省市政工程消耗量》《江苏省通用安装工程消耗量》及配套文件的通知计算。</w:t>
            </w:r>
          </w:p>
          <w:p w14:paraId="2C4EFAB2">
            <w:pPr>
              <w:spacing w:line="229" w:lineRule="atLeast"/>
              <w:rPr>
                <w:rFonts w:ascii="宋体" w:hAnsi="宋体" w:eastAsia="宋体" w:cs="宋体"/>
                <w:color w:val="000000"/>
                <w:spacing w:val="-2"/>
                <w:sz w:val="21"/>
                <w:highlight w:val="none"/>
              </w:rPr>
            </w:pPr>
            <w:r>
              <w:rPr>
                <w:rFonts w:ascii="宋体" w:hAnsi="宋体" w:eastAsia="宋体" w:cs="宋体"/>
                <w:color w:val="000000"/>
                <w:spacing w:val="-2"/>
                <w:sz w:val="21"/>
                <w:highlight w:val="none"/>
              </w:rPr>
              <w:t>3、主要材料价格《无锡工程造价信息》2026年第</w:t>
            </w:r>
            <w:r>
              <w:rPr>
                <w:rFonts w:hint="eastAsia" w:ascii="宋体" w:hAnsi="宋体" w:eastAsia="宋体" w:cs="宋体"/>
                <w:color w:val="000000"/>
                <w:spacing w:val="-2"/>
                <w:sz w:val="21"/>
                <w:highlight w:val="none"/>
                <w:lang w:val="en-US" w:eastAsia="zh-CN"/>
              </w:rPr>
              <w:t>6</w:t>
            </w:r>
            <w:r>
              <w:rPr>
                <w:rFonts w:ascii="宋体" w:hAnsi="宋体" w:eastAsia="宋体" w:cs="宋体"/>
                <w:color w:val="000000"/>
                <w:spacing w:val="-2"/>
                <w:sz w:val="21"/>
                <w:highlight w:val="none"/>
              </w:rPr>
              <w:t>期信息价，无信息指导价的材料按照市场询价。</w:t>
            </w:r>
          </w:p>
          <w:p w14:paraId="7484BF5F">
            <w:pPr>
              <w:spacing w:line="229" w:lineRule="atLeast"/>
              <w:rPr>
                <w:rFonts w:ascii="宋体" w:hAnsi="宋体" w:eastAsia="宋体" w:cs="宋体"/>
                <w:color w:val="000000"/>
                <w:spacing w:val="-2"/>
                <w:sz w:val="21"/>
                <w:highlight w:val="none"/>
              </w:rPr>
            </w:pPr>
            <w:r>
              <w:rPr>
                <w:rFonts w:ascii="宋体" w:hAnsi="宋体" w:eastAsia="宋体" w:cs="宋体"/>
                <w:color w:val="000000"/>
                <w:spacing w:val="-2"/>
                <w:sz w:val="21"/>
                <w:highlight w:val="none"/>
              </w:rPr>
              <w:t>4、机械费按2026年江苏省住房和城乡建设厅发布的《江苏省建设工程施工机具台班费用编制参考表》同时调整人工费、油料差价及税金。</w:t>
            </w:r>
          </w:p>
          <w:p w14:paraId="16472305">
            <w:pPr>
              <w:spacing w:line="229" w:lineRule="atLeast"/>
              <w:rPr>
                <w:rFonts w:ascii="宋体" w:hAnsi="宋体" w:eastAsia="宋体" w:cs="宋体"/>
                <w:color w:val="000000"/>
                <w:spacing w:val="-2"/>
                <w:sz w:val="21"/>
                <w:highlight w:val="none"/>
              </w:rPr>
            </w:pPr>
            <w:r>
              <w:rPr>
                <w:rFonts w:ascii="宋体" w:hAnsi="宋体" w:eastAsia="宋体" w:cs="宋体"/>
                <w:color w:val="000000"/>
                <w:spacing w:val="-2"/>
                <w:sz w:val="21"/>
                <w:highlight w:val="none"/>
              </w:rPr>
              <w:t>5、暂列金额、专业工程暂估价</w:t>
            </w:r>
          </w:p>
          <w:p w14:paraId="4EFEB0D8">
            <w:pPr>
              <w:spacing w:line="229" w:lineRule="atLeast"/>
              <w:rPr>
                <w:rFonts w:ascii="宋体" w:hAnsi="宋体" w:eastAsia="宋体" w:cs="宋体"/>
                <w:color w:val="000000"/>
                <w:spacing w:val="-2"/>
                <w:sz w:val="21"/>
              </w:rPr>
            </w:pPr>
            <w:r>
              <w:rPr>
                <w:rFonts w:ascii="宋体" w:hAnsi="宋体" w:eastAsia="宋体" w:cs="宋体"/>
                <w:color w:val="000000"/>
                <w:spacing w:val="-2"/>
                <w:sz w:val="21"/>
              </w:rPr>
              <w:t>本工程设50000元暂列金额，本工程无专业工程暂估价。</w:t>
            </w:r>
          </w:p>
          <w:p w14:paraId="5BD09F8D">
            <w:pPr>
              <w:spacing w:line="229" w:lineRule="atLeast"/>
              <w:rPr>
                <w:rFonts w:ascii="宋体" w:hAnsi="宋体" w:eastAsia="宋体" w:cs="宋体"/>
                <w:color w:val="000000"/>
                <w:spacing w:val="-2"/>
                <w:sz w:val="21"/>
              </w:rPr>
            </w:pPr>
            <w:r>
              <w:rPr>
                <w:rFonts w:ascii="宋体" w:hAnsi="宋体" w:eastAsia="宋体" w:cs="宋体"/>
                <w:color w:val="000000"/>
                <w:spacing w:val="-2"/>
                <w:sz w:val="21"/>
              </w:rPr>
              <w:t>6、其他</w:t>
            </w:r>
          </w:p>
          <w:p w14:paraId="241288E8">
            <w:pPr>
              <w:spacing w:line="229" w:lineRule="atLeast"/>
              <w:rPr>
                <w:rFonts w:ascii="宋体" w:hAnsi="宋体" w:eastAsia="宋体" w:cs="宋体"/>
                <w:color w:val="000000"/>
                <w:spacing w:val="-2"/>
                <w:sz w:val="21"/>
              </w:rPr>
            </w:pPr>
            <w:r>
              <w:rPr>
                <w:rFonts w:ascii="宋体" w:hAnsi="宋体" w:eastAsia="宋体" w:cs="宋体"/>
                <w:color w:val="000000"/>
                <w:spacing w:val="-2"/>
                <w:sz w:val="21"/>
              </w:rPr>
              <w:t>安全生产费：计算基础为（分部分项合计-除税工程设备费）；市政通用工程的费率为1.9%；路灯及交通设施的费率为1.9%；绿化工程的费率为0.9%；安装工程的费率为2.9%</w:t>
            </w:r>
          </w:p>
          <w:p w14:paraId="61330E78">
            <w:pPr>
              <w:spacing w:line="229" w:lineRule="atLeast"/>
              <w:rPr>
                <w:rFonts w:ascii="宋体" w:hAnsi="宋体" w:eastAsia="宋体" w:cs="宋体"/>
                <w:color w:val="000000"/>
                <w:spacing w:val="-2"/>
                <w:sz w:val="21"/>
              </w:rPr>
            </w:pPr>
            <w:r>
              <w:rPr>
                <w:rFonts w:ascii="宋体" w:hAnsi="宋体" w:eastAsia="宋体" w:cs="宋体"/>
                <w:color w:val="000000"/>
                <w:spacing w:val="-2"/>
                <w:sz w:val="21"/>
              </w:rPr>
              <w:t>增值税：计算基础为（分部分项工程+措施项目+其他项目-专业工程暂估价-除税甲供材料和甲供设备费）；市政通用工程的费率为9%；路灯及交通设施的费率为9%；绿化工程的费率为9%；安装工程的费率为9%</w:t>
            </w:r>
          </w:p>
        </w:tc>
      </w:tr>
      <w:tr w14:paraId="17F73AD9">
        <w:tblPrEx>
          <w:tblCellMar>
            <w:top w:w="0" w:type="dxa"/>
            <w:left w:w="0" w:type="dxa"/>
            <w:bottom w:w="0" w:type="dxa"/>
            <w:right w:w="0" w:type="dxa"/>
          </w:tblCellMar>
        </w:tblPrEx>
        <w:trPr>
          <w:trHeight w:val="2865" w:hRule="exact"/>
        </w:trPr>
        <w:tc>
          <w:tcPr>
            <w:tcW w:w="10431" w:type="dxa"/>
            <w:gridSpan w:val="3"/>
            <w:vMerge w:val="continue"/>
            <w:tcBorders>
              <w:top w:val="single" w:color="000000" w:sz="10" w:space="0"/>
              <w:left w:val="single" w:color="000000" w:sz="10" w:space="0"/>
              <w:right w:val="single" w:color="000000" w:sz="10" w:space="0"/>
            </w:tcBorders>
          </w:tcPr>
          <w:p w14:paraId="7FF490AC">
            <w:pPr>
              <w:spacing w:line="240" w:lineRule="atLeast"/>
            </w:pPr>
          </w:p>
        </w:tc>
      </w:tr>
      <w:tr w14:paraId="1313B60E">
        <w:tblPrEx>
          <w:tblCellMar>
            <w:top w:w="0" w:type="dxa"/>
            <w:left w:w="0" w:type="dxa"/>
            <w:bottom w:w="0" w:type="dxa"/>
            <w:right w:w="0" w:type="dxa"/>
          </w:tblCellMar>
        </w:tblPrEx>
        <w:trPr>
          <w:trHeight w:val="2350" w:hRule="exact"/>
        </w:trPr>
        <w:tc>
          <w:tcPr>
            <w:tcW w:w="10431" w:type="dxa"/>
            <w:gridSpan w:val="3"/>
            <w:vMerge w:val="continue"/>
            <w:tcBorders>
              <w:top w:val="single" w:color="000000" w:sz="10" w:space="0"/>
              <w:left w:val="single" w:color="000000" w:sz="10" w:space="0"/>
              <w:right w:val="single" w:color="000000" w:sz="10" w:space="0"/>
            </w:tcBorders>
          </w:tcPr>
          <w:p w14:paraId="25ACC765">
            <w:pPr>
              <w:spacing w:line="240" w:lineRule="atLeast"/>
            </w:pPr>
          </w:p>
        </w:tc>
      </w:tr>
      <w:tr w14:paraId="7BB8CE30">
        <w:tblPrEx>
          <w:tblCellMar>
            <w:top w:w="0" w:type="dxa"/>
            <w:left w:w="0" w:type="dxa"/>
            <w:bottom w:w="0" w:type="dxa"/>
            <w:right w:w="0" w:type="dxa"/>
          </w:tblCellMar>
        </w:tblPrEx>
        <w:trPr>
          <w:trHeight w:val="3581" w:hRule="exact"/>
        </w:trPr>
        <w:tc>
          <w:tcPr>
            <w:tcW w:w="10431" w:type="dxa"/>
            <w:gridSpan w:val="3"/>
            <w:vMerge w:val="continue"/>
            <w:tcBorders>
              <w:top w:val="single" w:color="000000" w:sz="10" w:space="0"/>
              <w:left w:val="single" w:color="000000" w:sz="10" w:space="0"/>
              <w:right w:val="single" w:color="000000" w:sz="10" w:space="0"/>
            </w:tcBorders>
          </w:tcPr>
          <w:p w14:paraId="0F9D6D3A">
            <w:pPr>
              <w:spacing w:line="240" w:lineRule="atLeast"/>
            </w:pPr>
          </w:p>
        </w:tc>
      </w:tr>
      <w:tr w14:paraId="6C7D4D3D">
        <w:tblPrEx>
          <w:tblCellMar>
            <w:top w:w="0" w:type="dxa"/>
            <w:left w:w="0" w:type="dxa"/>
            <w:bottom w:w="0" w:type="dxa"/>
            <w:right w:w="0" w:type="dxa"/>
          </w:tblCellMar>
        </w:tblPrEx>
        <w:trPr>
          <w:trHeight w:val="287" w:hRule="exact"/>
        </w:trPr>
        <w:tc>
          <w:tcPr>
            <w:tcW w:w="10431" w:type="dxa"/>
            <w:gridSpan w:val="3"/>
            <w:tcBorders>
              <w:left w:val="single" w:color="000000" w:sz="10" w:space="0"/>
              <w:right w:val="single" w:color="000000" w:sz="10" w:space="0"/>
            </w:tcBorders>
          </w:tcPr>
          <w:p w14:paraId="1E4F1AF1">
            <w:pPr>
              <w:spacing w:line="286" w:lineRule="atLeast"/>
              <w:rPr>
                <w:rFonts w:ascii="宋体" w:hAnsi="宋体" w:eastAsia="宋体" w:cs="宋体"/>
                <w:color w:val="000000"/>
                <w:spacing w:val="-2"/>
                <w:sz w:val="21"/>
              </w:rPr>
            </w:pPr>
          </w:p>
        </w:tc>
      </w:tr>
      <w:tr w14:paraId="6A7A3E76">
        <w:tblPrEx>
          <w:tblCellMar>
            <w:top w:w="0" w:type="dxa"/>
            <w:left w:w="0" w:type="dxa"/>
            <w:bottom w:w="0" w:type="dxa"/>
            <w:right w:w="0" w:type="dxa"/>
          </w:tblCellMar>
        </w:tblPrEx>
        <w:trPr>
          <w:trHeight w:val="286" w:hRule="exact"/>
        </w:trPr>
        <w:tc>
          <w:tcPr>
            <w:tcW w:w="10431" w:type="dxa"/>
            <w:gridSpan w:val="3"/>
            <w:tcBorders>
              <w:left w:val="single" w:color="000000" w:sz="10" w:space="0"/>
              <w:right w:val="single" w:color="000000" w:sz="10" w:space="0"/>
            </w:tcBorders>
          </w:tcPr>
          <w:p w14:paraId="7177A9B2">
            <w:pPr>
              <w:spacing w:line="286" w:lineRule="atLeast"/>
              <w:rPr>
                <w:rFonts w:ascii="宋体" w:hAnsi="宋体" w:eastAsia="宋体" w:cs="宋体"/>
                <w:color w:val="000000"/>
                <w:spacing w:val="-2"/>
                <w:sz w:val="21"/>
              </w:rPr>
            </w:pPr>
          </w:p>
        </w:tc>
      </w:tr>
      <w:tr w14:paraId="37B80B12">
        <w:tblPrEx>
          <w:tblCellMar>
            <w:top w:w="0" w:type="dxa"/>
            <w:left w:w="0" w:type="dxa"/>
            <w:bottom w:w="0" w:type="dxa"/>
            <w:right w:w="0" w:type="dxa"/>
          </w:tblCellMar>
        </w:tblPrEx>
        <w:trPr>
          <w:trHeight w:val="287" w:hRule="exact"/>
        </w:trPr>
        <w:tc>
          <w:tcPr>
            <w:tcW w:w="10431" w:type="dxa"/>
            <w:gridSpan w:val="3"/>
            <w:tcBorders>
              <w:left w:val="single" w:color="000000" w:sz="10" w:space="0"/>
              <w:right w:val="single" w:color="000000" w:sz="10" w:space="0"/>
            </w:tcBorders>
          </w:tcPr>
          <w:p w14:paraId="63E0BE0B">
            <w:pPr>
              <w:spacing w:line="286" w:lineRule="atLeast"/>
              <w:rPr>
                <w:rFonts w:ascii="宋体" w:hAnsi="宋体" w:eastAsia="宋体" w:cs="宋体"/>
                <w:color w:val="000000"/>
                <w:spacing w:val="-2"/>
                <w:sz w:val="21"/>
              </w:rPr>
            </w:pPr>
          </w:p>
        </w:tc>
      </w:tr>
      <w:tr w14:paraId="12CED76F">
        <w:tblPrEx>
          <w:tblCellMar>
            <w:top w:w="0" w:type="dxa"/>
            <w:left w:w="0" w:type="dxa"/>
            <w:bottom w:w="0" w:type="dxa"/>
            <w:right w:w="0" w:type="dxa"/>
          </w:tblCellMar>
        </w:tblPrEx>
        <w:trPr>
          <w:trHeight w:val="286" w:hRule="exact"/>
        </w:trPr>
        <w:tc>
          <w:tcPr>
            <w:tcW w:w="10431" w:type="dxa"/>
            <w:gridSpan w:val="3"/>
            <w:tcBorders>
              <w:left w:val="single" w:color="000000" w:sz="10" w:space="0"/>
              <w:right w:val="single" w:color="000000" w:sz="10" w:space="0"/>
            </w:tcBorders>
          </w:tcPr>
          <w:p w14:paraId="12CA128F">
            <w:pPr>
              <w:spacing w:line="286" w:lineRule="atLeast"/>
              <w:rPr>
                <w:rFonts w:ascii="宋体" w:hAnsi="宋体" w:eastAsia="宋体" w:cs="宋体"/>
                <w:color w:val="000000"/>
                <w:spacing w:val="-2"/>
                <w:sz w:val="21"/>
              </w:rPr>
            </w:pPr>
          </w:p>
        </w:tc>
      </w:tr>
      <w:tr w14:paraId="438DDE2E">
        <w:tblPrEx>
          <w:tblCellMar>
            <w:top w:w="0" w:type="dxa"/>
            <w:left w:w="0" w:type="dxa"/>
            <w:bottom w:w="0" w:type="dxa"/>
            <w:right w:w="0" w:type="dxa"/>
          </w:tblCellMar>
        </w:tblPrEx>
        <w:trPr>
          <w:trHeight w:val="287" w:hRule="exact"/>
        </w:trPr>
        <w:tc>
          <w:tcPr>
            <w:tcW w:w="10431" w:type="dxa"/>
            <w:gridSpan w:val="3"/>
            <w:tcBorders>
              <w:left w:val="single" w:color="000000" w:sz="10" w:space="0"/>
              <w:right w:val="single" w:color="000000" w:sz="10" w:space="0"/>
            </w:tcBorders>
          </w:tcPr>
          <w:p w14:paraId="2E0C76AE">
            <w:pPr>
              <w:spacing w:line="286" w:lineRule="atLeast"/>
              <w:rPr>
                <w:rFonts w:ascii="宋体" w:hAnsi="宋体" w:eastAsia="宋体" w:cs="宋体"/>
                <w:color w:val="000000"/>
                <w:spacing w:val="-2"/>
                <w:sz w:val="21"/>
              </w:rPr>
            </w:pPr>
          </w:p>
        </w:tc>
      </w:tr>
      <w:tr w14:paraId="089359D6">
        <w:tblPrEx>
          <w:tblCellMar>
            <w:top w:w="0" w:type="dxa"/>
            <w:left w:w="0" w:type="dxa"/>
            <w:bottom w:w="0" w:type="dxa"/>
            <w:right w:w="0" w:type="dxa"/>
          </w:tblCellMar>
        </w:tblPrEx>
        <w:trPr>
          <w:trHeight w:val="286" w:hRule="exact"/>
        </w:trPr>
        <w:tc>
          <w:tcPr>
            <w:tcW w:w="10431" w:type="dxa"/>
            <w:gridSpan w:val="3"/>
            <w:tcBorders>
              <w:left w:val="single" w:color="000000" w:sz="10" w:space="0"/>
              <w:bottom w:val="single" w:color="000000" w:sz="10" w:space="0"/>
              <w:right w:val="single" w:color="000000" w:sz="10" w:space="0"/>
            </w:tcBorders>
          </w:tcPr>
          <w:p w14:paraId="287B7695">
            <w:pPr>
              <w:spacing w:line="286" w:lineRule="atLeast"/>
              <w:rPr>
                <w:rFonts w:ascii="宋体" w:hAnsi="宋体" w:eastAsia="宋体" w:cs="宋体"/>
                <w:color w:val="000000"/>
                <w:spacing w:val="-2"/>
                <w:sz w:val="21"/>
              </w:rPr>
            </w:pPr>
          </w:p>
        </w:tc>
      </w:tr>
      <w:tr w14:paraId="432263CB">
        <w:tblPrEx>
          <w:tblCellMar>
            <w:top w:w="0" w:type="dxa"/>
            <w:left w:w="0" w:type="dxa"/>
            <w:bottom w:w="0" w:type="dxa"/>
            <w:right w:w="0" w:type="dxa"/>
          </w:tblCellMar>
        </w:tblPrEx>
        <w:trPr>
          <w:trHeight w:val="15" w:hRule="exact"/>
        </w:trPr>
        <w:tc>
          <w:tcPr>
            <w:tcW w:w="10431" w:type="dxa"/>
            <w:gridSpan w:val="3"/>
            <w:tcBorders>
              <w:top w:val="single" w:color="000000" w:sz="10" w:space="0"/>
            </w:tcBorders>
          </w:tcPr>
          <w:p w14:paraId="7EDA0DC6">
            <w:pPr>
              <w:spacing w:line="240" w:lineRule="atLeast"/>
            </w:pPr>
          </w:p>
        </w:tc>
      </w:tr>
      <w:tr w14:paraId="430D5596">
        <w:tblPrEx>
          <w:tblCellMar>
            <w:top w:w="0" w:type="dxa"/>
            <w:left w:w="0" w:type="dxa"/>
            <w:bottom w:w="0" w:type="dxa"/>
            <w:right w:w="0" w:type="dxa"/>
          </w:tblCellMar>
        </w:tblPrEx>
        <w:trPr>
          <w:trHeight w:val="28" w:hRule="exact"/>
        </w:trPr>
        <w:tc>
          <w:tcPr>
            <w:tcW w:w="10431" w:type="dxa"/>
            <w:gridSpan w:val="3"/>
          </w:tcPr>
          <w:p w14:paraId="3AEB6CD7">
            <w:pPr>
              <w:spacing w:line="240" w:lineRule="atLeast"/>
            </w:pPr>
          </w:p>
        </w:tc>
      </w:tr>
      <w:tr w14:paraId="76555A51">
        <w:tblPrEx>
          <w:tblCellMar>
            <w:top w:w="0" w:type="dxa"/>
            <w:left w:w="0" w:type="dxa"/>
            <w:bottom w:w="0" w:type="dxa"/>
            <w:right w:w="0" w:type="dxa"/>
          </w:tblCellMar>
        </w:tblPrEx>
        <w:trPr>
          <w:trHeight w:val="516" w:hRule="exact"/>
        </w:trPr>
        <w:tc>
          <w:tcPr>
            <w:tcW w:w="10431" w:type="dxa"/>
            <w:gridSpan w:val="3"/>
            <w:vAlign w:val="center"/>
          </w:tcPr>
          <w:p w14:paraId="7EC98C2A">
            <w:pPr>
              <w:spacing w:line="229" w:lineRule="atLeast"/>
              <w:ind w:right="-18807"/>
              <w:rPr>
                <w:rFonts w:ascii="黑体" w:hAnsi="黑体" w:eastAsia="黑体" w:cs="黑体"/>
                <w:color w:val="000000"/>
                <w:spacing w:val="-2"/>
                <w:sz w:val="17"/>
              </w:rPr>
            </w:pPr>
            <w:r>
              <w:rPr>
                <w:rFonts w:ascii="黑体" w:hAnsi="黑体" w:eastAsia="黑体" w:cs="黑体"/>
                <w:color w:val="000000"/>
                <w:spacing w:val="-2"/>
                <w:sz w:val="17"/>
              </w:rPr>
              <w:t>注：最高投标限价编制(审核)说明应包括工程概况、工程范围、编制(审核)依据、特殊要求(如有)及其他需要说明的问题等内容。</w:t>
            </w:r>
          </w:p>
        </w:tc>
      </w:tr>
    </w:tbl>
    <w:p w14:paraId="63476FD2">
      <w:pPr>
        <w:spacing w:line="240" w:lineRule="atLeast"/>
      </w:pPr>
    </w:p>
    <w:sectPr>
      <w:pgSz w:w="11906" w:h="16848"/>
      <w:pgMar w:top="567" w:right="567" w:bottom="630" w:left="850" w:header="226" w:footer="252"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08"/>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50D6E75"/>
    <w:rsid w:val="4F4713AD"/>
    <w:rsid w:val="561C0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heme="minorHAnsi" w:hAnsiTheme="minorHAnsi" w:eastAsiaTheme="minorEastAsia" w:cstheme="minorBidi"/>
      <w:sz w:val="2"/>
      <w:szCs w:val="22"/>
      <w:lang w:val="en-US" w:eastAsia="en-US"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Stimulsoft</Company>
  <Pages>1</Pages>
  <Words>1168</Words>
  <Characters>1298</Characters>
  <Lines>1</Lines>
  <Paragraphs>1</Paragraphs>
  <TotalTime>4</TotalTime>
  <ScaleCrop>false</ScaleCrop>
  <LinksUpToDate>false</LinksUpToDate>
  <CharactersWithSpaces>1305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2026-07-13T04:42:00Z</dcterms:created>
  <dc:creator>LENOVO</dc:creator>
  <cp:lastModifiedBy>bee</cp:lastModifiedBy>
  <dcterms:modified xsi:type="dcterms:W3CDTF">2026-07-13T09:16:59Z</dcterms:modified>
  <dc:subject>Report</dc:subject>
  <dc:title>Report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eyJoZGlkIjoiYTliMTNmNTVmNDlmMzAwMmJlZWYwZGZkZGEzNGJlNWQiLCJ1c2VySWQiOiI2MjIwODA1NzYifQ==</vt:lpwstr>
  </property>
  <property fmtid="{D5CDD505-2E9C-101B-9397-08002B2CF9AE}" pid="3" name="KSOProductBuildVer">
    <vt:lpwstr>2052-12.1.0.26895</vt:lpwstr>
  </property>
  <property fmtid="{D5CDD505-2E9C-101B-9397-08002B2CF9AE}" pid="4" name="ICV">
    <vt:lpwstr>6436C8C87A044C59B9F23DF1BFB21C45_12</vt:lpwstr>
  </property>
</Properties>
</file>